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C69" w:rsidRDefault="003C0C69">
      <w:pPr>
        <w:rPr>
          <w:b/>
          <w:snapToGrid w:val="0"/>
          <w:sz w:val="22"/>
        </w:rPr>
      </w:pPr>
      <w:r>
        <w:rPr>
          <w:b/>
          <w:snapToGrid w:val="0"/>
          <w:sz w:val="22"/>
        </w:rPr>
        <w:t>{Source: Federal Register dated 7/1/98}</w:t>
      </w:r>
      <w:bookmarkStart w:id="0" w:name="_GoBack"/>
      <w:bookmarkEnd w:id="0"/>
    </w:p>
    <w:p w:rsidR="003C0C69" w:rsidRDefault="003C0C69">
      <w:pPr>
        <w:rPr>
          <w:b/>
          <w:snapToGrid w:val="0"/>
          <w:sz w:val="22"/>
        </w:rPr>
      </w:pPr>
    </w:p>
    <w:p w:rsidR="003C0C69" w:rsidRDefault="003C0C69">
      <w:pPr>
        <w:rPr>
          <w:b/>
          <w:snapToGrid w:val="0"/>
          <w:sz w:val="22"/>
        </w:rPr>
      </w:pPr>
      <w:r>
        <w:rPr>
          <w:b/>
          <w:snapToGrid w:val="0"/>
          <w:sz w:val="22"/>
        </w:rPr>
        <w:t>Subpart I — Standards of Performance for Hot Mix Asphalt Facilities</w:t>
      </w:r>
    </w:p>
    <w:p w:rsidR="003C0C69" w:rsidRDefault="003C0C69">
      <w:pPr>
        <w:rPr>
          <w:b/>
          <w:snapToGrid w:val="0"/>
          <w:sz w:val="22"/>
        </w:rPr>
      </w:pPr>
    </w:p>
    <w:p w:rsidR="003C0C69" w:rsidRDefault="003C0C69">
      <w:pPr>
        <w:rPr>
          <w:b/>
          <w:snapToGrid w:val="0"/>
          <w:sz w:val="22"/>
        </w:rPr>
      </w:pPr>
      <w:r>
        <w:rPr>
          <w:b/>
          <w:snapToGrid w:val="0"/>
          <w:sz w:val="22"/>
        </w:rPr>
        <w:t>§ 60.90 Applicability and designation of affected facility.</w:t>
      </w:r>
    </w:p>
    <w:p w:rsidR="003C0C69" w:rsidRDefault="003C0C69">
      <w:pPr>
        <w:rPr>
          <w:snapToGrid w:val="0"/>
          <w:sz w:val="22"/>
        </w:rPr>
      </w:pP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(a) The affected facility to which the provisions of this subpart apply is each hot mix asphalt facility.  For the purpose of this subpart, a hot mix asphalt facility is comprised only of any combination of the following: dryers; systems for screening, handling, storing, and weighing hot aggregate; systems for loading, transferring, and storing mineral filler, systems for mixing hot mix asphalt; and the loading, transfer, and storage systems associated with emission control systems.</w:t>
      </w:r>
    </w:p>
    <w:p w:rsidR="003C0C69" w:rsidRDefault="003C0C69">
      <w:pPr>
        <w:rPr>
          <w:snapToGrid w:val="0"/>
          <w:sz w:val="22"/>
        </w:rPr>
      </w:pP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(b) Any facility under paragraph (a) of this section that commences construction or modification after June 11, 1973, is subject to the requirements of this subpart.</w:t>
      </w: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[42 FR 37936, July 25, 1977, as amended at 51 FR 12325, Apr. 10, 1986]</w:t>
      </w:r>
    </w:p>
    <w:p w:rsidR="003C0C69" w:rsidRDefault="003C0C69">
      <w:pPr>
        <w:rPr>
          <w:b/>
          <w:snapToGrid w:val="0"/>
          <w:sz w:val="22"/>
        </w:rPr>
      </w:pPr>
    </w:p>
    <w:p w:rsidR="003C0C69" w:rsidRDefault="003C0C69">
      <w:pPr>
        <w:rPr>
          <w:b/>
          <w:snapToGrid w:val="0"/>
          <w:sz w:val="22"/>
        </w:rPr>
      </w:pPr>
      <w:r>
        <w:rPr>
          <w:b/>
          <w:snapToGrid w:val="0"/>
          <w:sz w:val="22"/>
        </w:rPr>
        <w:t>§ 60.91 Definitions.</w:t>
      </w:r>
    </w:p>
    <w:p w:rsidR="003C0C69" w:rsidRDefault="003C0C69">
      <w:pPr>
        <w:rPr>
          <w:snapToGrid w:val="0"/>
          <w:sz w:val="22"/>
        </w:rPr>
      </w:pP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As used in this subpart, all terms not defined herein shall have the meaning given them in the</w:t>
      </w: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Act and in subpart A of this part.</w:t>
      </w: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 xml:space="preserve">(a) </w:t>
      </w:r>
      <w:r>
        <w:rPr>
          <w:i/>
          <w:snapToGrid w:val="0"/>
          <w:sz w:val="22"/>
        </w:rPr>
        <w:t xml:space="preserve">Hot mix asphalt facility </w:t>
      </w:r>
      <w:r>
        <w:rPr>
          <w:snapToGrid w:val="0"/>
          <w:sz w:val="22"/>
        </w:rPr>
        <w:t>means any facility, as described in § 60.90, used to manufacture hot</w:t>
      </w: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mix asphalt by heating and drying aggregate and mixing with asphalt cements.</w:t>
      </w: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[51 FR 12325, Apr. 10, 1986]</w:t>
      </w:r>
    </w:p>
    <w:p w:rsidR="003C0C69" w:rsidRDefault="003C0C69">
      <w:pPr>
        <w:rPr>
          <w:snapToGrid w:val="0"/>
          <w:sz w:val="22"/>
        </w:rPr>
      </w:pPr>
    </w:p>
    <w:p w:rsidR="003C0C69" w:rsidRDefault="003C0C69">
      <w:pPr>
        <w:rPr>
          <w:b/>
          <w:snapToGrid w:val="0"/>
          <w:sz w:val="22"/>
        </w:rPr>
      </w:pPr>
      <w:r>
        <w:rPr>
          <w:b/>
          <w:snapToGrid w:val="0"/>
          <w:sz w:val="22"/>
        </w:rPr>
        <w:t>§ 60.92 Standard for particulate matter.</w:t>
      </w:r>
    </w:p>
    <w:p w:rsidR="003C0C69" w:rsidRDefault="003C0C69">
      <w:pPr>
        <w:rPr>
          <w:snapToGrid w:val="0"/>
          <w:sz w:val="22"/>
        </w:rPr>
      </w:pP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(a) On and after the date on which the performance test required to be conducted by § 60.8 is completed, no owner or operator subject to the provisions of this subpart shall discharge or cause the discharge into the atmosphere from any affected facility any gases which:</w:t>
      </w:r>
    </w:p>
    <w:p w:rsidR="003C0C69" w:rsidRDefault="003C0C69">
      <w:pPr>
        <w:ind w:firstLine="720"/>
        <w:rPr>
          <w:snapToGrid w:val="0"/>
          <w:sz w:val="22"/>
        </w:rPr>
      </w:pPr>
      <w:r>
        <w:rPr>
          <w:snapToGrid w:val="0"/>
          <w:sz w:val="22"/>
        </w:rPr>
        <w:t>(1) Contain particulate matter in excess of 90 mg/dscm (0.04 gr/dscf).</w:t>
      </w:r>
    </w:p>
    <w:p w:rsidR="003C0C69" w:rsidRDefault="003C0C69">
      <w:pPr>
        <w:ind w:firstLine="720"/>
        <w:rPr>
          <w:snapToGrid w:val="0"/>
          <w:sz w:val="22"/>
        </w:rPr>
      </w:pPr>
      <w:r>
        <w:rPr>
          <w:snapToGrid w:val="0"/>
          <w:sz w:val="22"/>
        </w:rPr>
        <w:t>(2) Exhibit 20 percent opacity, or greater.</w:t>
      </w: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[39 FR 9314, Mar. 8, 1974, as amended at 40 FR 46259, Oct. 6, 1975]</w:t>
      </w:r>
    </w:p>
    <w:p w:rsidR="003C0C69" w:rsidRDefault="003C0C69">
      <w:pPr>
        <w:rPr>
          <w:b/>
          <w:snapToGrid w:val="0"/>
          <w:sz w:val="22"/>
        </w:rPr>
      </w:pPr>
    </w:p>
    <w:p w:rsidR="003C0C69" w:rsidRDefault="003C0C69">
      <w:pPr>
        <w:rPr>
          <w:b/>
          <w:snapToGrid w:val="0"/>
          <w:sz w:val="22"/>
        </w:rPr>
      </w:pPr>
      <w:r>
        <w:rPr>
          <w:b/>
          <w:snapToGrid w:val="0"/>
          <w:sz w:val="22"/>
        </w:rPr>
        <w:t>§ 60.93 Test methods and procedures.</w:t>
      </w:r>
    </w:p>
    <w:p w:rsidR="003C0C69" w:rsidRDefault="003C0C69">
      <w:pPr>
        <w:rPr>
          <w:snapToGrid w:val="0"/>
          <w:sz w:val="22"/>
        </w:rPr>
      </w:pP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(a) In conducting the performance tests required in § 60.8, the owner or operator shall use as reference</w:t>
      </w: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methods and procedures the test methods in appendix A of this part or other methods and procedures as specified in this section, except as provided in § 60.8(b).</w:t>
      </w:r>
    </w:p>
    <w:p w:rsidR="003C0C69" w:rsidRDefault="003C0C69">
      <w:pPr>
        <w:rPr>
          <w:snapToGrid w:val="0"/>
          <w:sz w:val="22"/>
        </w:rPr>
      </w:pP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(b) The owner or operator shall determine compliance with the particulate matter standards in</w:t>
      </w: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§ 60.92 as follows:</w:t>
      </w:r>
    </w:p>
    <w:p w:rsidR="003C0C69" w:rsidRDefault="003C0C69">
      <w:pPr>
        <w:ind w:firstLine="720"/>
        <w:rPr>
          <w:snapToGrid w:val="0"/>
          <w:sz w:val="22"/>
        </w:rPr>
      </w:pPr>
      <w:r>
        <w:rPr>
          <w:snapToGrid w:val="0"/>
          <w:sz w:val="22"/>
        </w:rPr>
        <w:t>(1) Method 5 shall be used to determine the particulate matter concentration. The sampling</w:t>
      </w:r>
    </w:p>
    <w:p w:rsidR="003C0C69" w:rsidRDefault="003C0C69">
      <w:pPr>
        <w:rPr>
          <w:snapToGrid w:val="0"/>
          <w:sz w:val="22"/>
        </w:rPr>
      </w:pPr>
      <w:r>
        <w:rPr>
          <w:snapToGrid w:val="0"/>
          <w:sz w:val="22"/>
        </w:rPr>
        <w:t>time and sample volume for each run shall be at least 60 minutes and 0.90 dscm (31.8 dscf).</w:t>
      </w:r>
    </w:p>
    <w:p w:rsidR="003C0C69" w:rsidRDefault="003C0C69">
      <w:pPr>
        <w:ind w:firstLine="720"/>
        <w:rPr>
          <w:snapToGrid w:val="0"/>
          <w:sz w:val="22"/>
        </w:rPr>
      </w:pPr>
      <w:r>
        <w:rPr>
          <w:snapToGrid w:val="0"/>
          <w:sz w:val="22"/>
        </w:rPr>
        <w:t>(2) Method 9 and the procedures in § 60.11 shall be used to determine opacity.</w:t>
      </w:r>
    </w:p>
    <w:p w:rsidR="003C0C69" w:rsidRDefault="003C0C69">
      <w:pPr>
        <w:rPr>
          <w:sz w:val="22"/>
        </w:rPr>
      </w:pPr>
      <w:r>
        <w:rPr>
          <w:snapToGrid w:val="0"/>
          <w:sz w:val="22"/>
        </w:rPr>
        <w:t>[54 FR 6667, Feb. 14, 1989]</w:t>
      </w:r>
    </w:p>
    <w:sectPr w:rsidR="003C0C69" w:rsidSect="00D76419">
      <w:headerReference w:type="default" r:id="rId6"/>
      <w:footerReference w:type="default" r:id="rId7"/>
      <w:pgSz w:w="12240" w:h="15840" w:code="1"/>
      <w:pgMar w:top="1440" w:right="1800" w:bottom="1440" w:left="720" w:header="720" w:footer="720" w:gutter="0"/>
      <w:paperSrc w:first="263" w:other="26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034" w:rsidRDefault="00002034" w:rsidP="009F1E98">
      <w:r>
        <w:separator/>
      </w:r>
    </w:p>
  </w:endnote>
  <w:endnote w:type="continuationSeparator" w:id="0">
    <w:p w:rsidR="00002034" w:rsidRDefault="00002034" w:rsidP="009F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9F1" w:rsidRPr="00B209F1" w:rsidRDefault="00B209F1">
    <w:pPr>
      <w:pStyle w:val="Footer"/>
      <w:jc w:val="center"/>
      <w:rPr>
        <w:sz w:val="22"/>
        <w:szCs w:val="22"/>
      </w:rPr>
    </w:pPr>
    <w:r w:rsidRPr="00B209F1">
      <w:rPr>
        <w:sz w:val="22"/>
        <w:szCs w:val="22"/>
      </w:rPr>
      <w:t xml:space="preserve">Page </w:t>
    </w:r>
    <w:r w:rsidRPr="00B209F1">
      <w:rPr>
        <w:sz w:val="22"/>
        <w:szCs w:val="22"/>
      </w:rPr>
      <w:fldChar w:fldCharType="begin"/>
    </w:r>
    <w:r w:rsidRPr="00B209F1">
      <w:rPr>
        <w:sz w:val="22"/>
        <w:szCs w:val="22"/>
      </w:rPr>
      <w:instrText xml:space="preserve"> PAGE </w:instrText>
    </w:r>
    <w:r w:rsidRPr="00B209F1">
      <w:rPr>
        <w:sz w:val="22"/>
        <w:szCs w:val="22"/>
      </w:rPr>
      <w:fldChar w:fldCharType="separate"/>
    </w:r>
    <w:r w:rsidR="001D0065">
      <w:rPr>
        <w:noProof/>
        <w:sz w:val="22"/>
        <w:szCs w:val="22"/>
      </w:rPr>
      <w:t>1</w:t>
    </w:r>
    <w:r w:rsidRPr="00B209F1">
      <w:rPr>
        <w:sz w:val="22"/>
        <w:szCs w:val="22"/>
      </w:rPr>
      <w:fldChar w:fldCharType="end"/>
    </w:r>
    <w:r w:rsidRPr="00B209F1">
      <w:rPr>
        <w:sz w:val="22"/>
        <w:szCs w:val="22"/>
      </w:rPr>
      <w:t xml:space="preserve"> of </w:t>
    </w:r>
    <w:r w:rsidRPr="00B209F1">
      <w:rPr>
        <w:sz w:val="22"/>
        <w:szCs w:val="22"/>
      </w:rPr>
      <w:fldChar w:fldCharType="begin"/>
    </w:r>
    <w:r w:rsidRPr="00B209F1">
      <w:rPr>
        <w:sz w:val="22"/>
        <w:szCs w:val="22"/>
      </w:rPr>
      <w:instrText xml:space="preserve"> NUMPAGES  </w:instrText>
    </w:r>
    <w:r w:rsidRPr="00B209F1">
      <w:rPr>
        <w:sz w:val="22"/>
        <w:szCs w:val="22"/>
      </w:rPr>
      <w:fldChar w:fldCharType="separate"/>
    </w:r>
    <w:r w:rsidR="001D0065">
      <w:rPr>
        <w:noProof/>
        <w:sz w:val="22"/>
        <w:szCs w:val="22"/>
      </w:rPr>
      <w:t>1</w:t>
    </w:r>
    <w:r w:rsidRPr="00B209F1">
      <w:rPr>
        <w:sz w:val="22"/>
        <w:szCs w:val="22"/>
      </w:rPr>
      <w:fldChar w:fldCharType="end"/>
    </w:r>
  </w:p>
  <w:p w:rsidR="00B209F1" w:rsidRDefault="00B209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034" w:rsidRDefault="00002034" w:rsidP="009F1E98">
      <w:r>
        <w:separator/>
      </w:r>
    </w:p>
  </w:footnote>
  <w:footnote w:type="continuationSeparator" w:id="0">
    <w:p w:rsidR="00002034" w:rsidRDefault="00002034" w:rsidP="009F1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E98" w:rsidRPr="009F1E98" w:rsidRDefault="00F50CD5" w:rsidP="009F1E98">
    <w:pPr>
      <w:pStyle w:val="Header"/>
      <w:jc w:val="center"/>
      <w:rPr>
        <w:b/>
        <w:sz w:val="22"/>
        <w:szCs w:val="22"/>
      </w:rPr>
    </w:pPr>
    <w:r>
      <w:rPr>
        <w:b/>
        <w:sz w:val="22"/>
        <w:szCs w:val="22"/>
      </w:rPr>
      <w:t xml:space="preserve">SECTION 4. </w:t>
    </w:r>
    <w:r w:rsidR="009F1E98" w:rsidRPr="009F1E98">
      <w:rPr>
        <w:b/>
        <w:sz w:val="22"/>
        <w:szCs w:val="22"/>
      </w:rPr>
      <w:t>APPENDIX</w:t>
    </w:r>
    <w:r w:rsidR="001D0065">
      <w:rPr>
        <w:b/>
        <w:sz w:val="22"/>
        <w:szCs w:val="22"/>
      </w:rPr>
      <w:t xml:space="preserve"> F</w:t>
    </w:r>
    <w:r w:rsidR="009F1E98" w:rsidRPr="009F1E98">
      <w:rPr>
        <w:b/>
        <w:sz w:val="22"/>
        <w:szCs w:val="22"/>
      </w:rPr>
      <w:t xml:space="preserve"> - 40 CFR 60, SUBPART I</w:t>
    </w:r>
  </w:p>
  <w:p w:rsidR="001119C0" w:rsidRPr="001119C0" w:rsidRDefault="001119C0" w:rsidP="001119C0">
    <w:pPr>
      <w:pStyle w:val="Header"/>
      <w:pBdr>
        <w:bottom w:val="single" w:sz="4" w:space="0" w:color="auto"/>
      </w:pBdr>
      <w:spacing w:after="240"/>
      <w:rPr>
        <w:b/>
        <w:caps/>
        <w:sz w:val="16"/>
        <w:szCs w:val="16"/>
      </w:rPr>
    </w:pPr>
  </w:p>
  <w:p w:rsidR="009F1E98" w:rsidRDefault="009F1E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0CF"/>
    <w:rsid w:val="00002034"/>
    <w:rsid w:val="001119C0"/>
    <w:rsid w:val="001D0065"/>
    <w:rsid w:val="00387E38"/>
    <w:rsid w:val="003C0C69"/>
    <w:rsid w:val="00433498"/>
    <w:rsid w:val="004B2230"/>
    <w:rsid w:val="005340CF"/>
    <w:rsid w:val="006238D1"/>
    <w:rsid w:val="009801B4"/>
    <w:rsid w:val="009F1E98"/>
    <w:rsid w:val="00B209F1"/>
    <w:rsid w:val="00B851BD"/>
    <w:rsid w:val="00C34D88"/>
    <w:rsid w:val="00D7108A"/>
    <w:rsid w:val="00D76419"/>
    <w:rsid w:val="00F10F37"/>
    <w:rsid w:val="00F5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0C0AA1B0-611F-4004-914B-E74B9DFB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F1E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1E98"/>
  </w:style>
  <w:style w:type="paragraph" w:styleId="Footer">
    <w:name w:val="footer"/>
    <w:basedOn w:val="Normal"/>
    <w:link w:val="FooterChar"/>
    <w:uiPriority w:val="99"/>
    <w:unhideWhenUsed/>
    <w:rsid w:val="009F1E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1E98"/>
  </w:style>
  <w:style w:type="paragraph" w:styleId="BalloonText">
    <w:name w:val="Balloon Text"/>
    <w:basedOn w:val="Normal"/>
    <w:link w:val="BalloonTextChar"/>
    <w:uiPriority w:val="99"/>
    <w:semiHidden/>
    <w:unhideWhenUsed/>
    <w:rsid w:val="009F1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E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[Last Updated 2/15/00]</vt:lpstr>
    </vt:vector>
  </TitlesOfParts>
  <Company>DARM</Company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[Last Updated 2/15/00]</dc:title>
  <dc:subject/>
  <dc:creator>Russell Wider</dc:creator>
  <cp:keywords/>
  <dc:description/>
  <cp:lastModifiedBy>Knight, Nancy</cp:lastModifiedBy>
  <cp:revision>3</cp:revision>
  <cp:lastPrinted>2011-07-29T21:32:00Z</cp:lastPrinted>
  <dcterms:created xsi:type="dcterms:W3CDTF">2015-01-05T16:15:00Z</dcterms:created>
  <dcterms:modified xsi:type="dcterms:W3CDTF">2015-01-05T18:43:00Z</dcterms:modified>
</cp:coreProperties>
</file>